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8"/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70"/>
        <w:gridCol w:w="1240"/>
        <w:gridCol w:w="3402"/>
        <w:gridCol w:w="8"/>
      </w:tblGrid>
      <w:tr w:rsidR="00017C93" w:rsidTr="00017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80"/>
        </w:trPr>
        <w:tc>
          <w:tcPr>
            <w:tcW w:w="4820" w:type="dxa"/>
            <w:vMerge w:val="restart"/>
          </w:tcPr>
          <w:p w:rsidR="00017C93" w:rsidRPr="006E4494" w:rsidRDefault="00017C93" w:rsidP="00017C93">
            <w:pPr>
              <w:rPr>
                <w:color w:val="000000"/>
              </w:rPr>
            </w:pPr>
            <w:r w:rsidRPr="006E4494">
              <w:rPr>
                <w:color w:val="000000"/>
              </w:rPr>
              <w:t xml:space="preserve">Apskričių valstybinėms </w:t>
            </w:r>
          </w:p>
          <w:p w:rsidR="00017C93" w:rsidRPr="006E4494" w:rsidRDefault="00017C93" w:rsidP="00017C93">
            <w:pPr>
              <w:rPr>
                <w:color w:val="000000"/>
              </w:rPr>
            </w:pPr>
            <w:r w:rsidRPr="006E4494">
              <w:rPr>
                <w:color w:val="000000"/>
              </w:rPr>
              <w:t>mokesčių inspekcijoms</w:t>
            </w:r>
          </w:p>
        </w:tc>
        <w:tc>
          <w:tcPr>
            <w:tcW w:w="170" w:type="dxa"/>
          </w:tcPr>
          <w:p w:rsidR="00017C93" w:rsidRDefault="00017C93" w:rsidP="00017C93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017C93" w:rsidRDefault="00017C93" w:rsidP="00017C9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93170">
              <w:rPr>
                <w:color w:val="000000"/>
              </w:rPr>
              <w:t>10</w:t>
            </w:r>
            <w:r>
              <w:rPr>
                <w:color w:val="000000"/>
              </w:rPr>
              <w:t>-0</w:t>
            </w:r>
            <w:r w:rsidR="00FE48A5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017C93" w:rsidRDefault="00017C93" w:rsidP="00017C93">
            <w:pPr>
              <w:rPr>
                <w:color w:val="000000"/>
              </w:rPr>
            </w:pPr>
            <w:r>
              <w:rPr>
                <w:color w:val="000000"/>
              </w:rPr>
              <w:t>Nr. (18.26-31-1)-R-</w:t>
            </w:r>
          </w:p>
        </w:tc>
      </w:tr>
      <w:tr w:rsidR="00017C93" w:rsidTr="00017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114"/>
        </w:trPr>
        <w:tc>
          <w:tcPr>
            <w:tcW w:w="4820" w:type="dxa"/>
            <w:vMerge/>
          </w:tcPr>
          <w:p w:rsidR="00017C93" w:rsidRPr="006E4494" w:rsidRDefault="00017C93" w:rsidP="00017C93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017C93" w:rsidRDefault="00017C93" w:rsidP="00017C93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017C93" w:rsidRDefault="00017C93" w:rsidP="00017C93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017C93" w:rsidRDefault="00017C93" w:rsidP="00017C93">
            <w:pPr>
              <w:rPr>
                <w:color w:val="000000"/>
              </w:rPr>
            </w:pPr>
          </w:p>
        </w:tc>
      </w:tr>
      <w:tr w:rsidR="00017C93" w:rsidTr="00017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40" w:type="dxa"/>
            <w:gridSpan w:val="5"/>
          </w:tcPr>
          <w:p w:rsidR="00017C93" w:rsidRDefault="00017C93" w:rsidP="00017C93">
            <w:pPr>
              <w:rPr>
                <w:color w:val="000000"/>
              </w:rPr>
            </w:pPr>
          </w:p>
          <w:p w:rsidR="00096A6B" w:rsidRPr="006E4494" w:rsidRDefault="00096A6B" w:rsidP="00017C93">
            <w:pPr>
              <w:rPr>
                <w:color w:val="000000"/>
              </w:rPr>
            </w:pPr>
          </w:p>
        </w:tc>
      </w:tr>
      <w:tr w:rsidR="00017C93" w:rsidTr="00017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9640" w:type="dxa"/>
            <w:gridSpan w:val="5"/>
          </w:tcPr>
          <w:p w:rsidR="00017C93" w:rsidRPr="006E4494" w:rsidRDefault="00C73689" w:rsidP="00017C93">
            <w:pPr>
              <w:pStyle w:val="BodyText"/>
              <w:rPr>
                <w:rFonts w:ascii="Tahoma" w:hAnsi="Tahoma" w:cs="Tahoma"/>
                <w:b/>
              </w:rPr>
            </w:pPr>
            <w:r w:rsidRPr="006E4494">
              <w:rPr>
                <w:b/>
              </w:rPr>
              <w:t xml:space="preserve">INFORMACINIS PRANEŠIMAS DĖL </w:t>
            </w:r>
            <w:r w:rsidR="00FE48A5">
              <w:rPr>
                <w:b/>
              </w:rPr>
              <w:t xml:space="preserve">PRIVALOMOJO SVEIKATOS DRAUDIMO ĮMOKŲ MOKĖJIMO </w:t>
            </w:r>
          </w:p>
        </w:tc>
      </w:tr>
      <w:tr w:rsidR="00320E23" w:rsidTr="00017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9640" w:type="dxa"/>
            <w:gridSpan w:val="5"/>
          </w:tcPr>
          <w:p w:rsidR="00320E23" w:rsidRPr="006E4494" w:rsidRDefault="00320E23" w:rsidP="00017C93">
            <w:pPr>
              <w:pStyle w:val="BodyText"/>
              <w:rPr>
                <w:b/>
              </w:rPr>
            </w:pPr>
          </w:p>
        </w:tc>
      </w:tr>
    </w:tbl>
    <w:p w:rsidR="009D3D2F" w:rsidRDefault="009D3D2F"/>
    <w:p w:rsidR="00096A6B" w:rsidRDefault="00096A6B">
      <w:pPr>
        <w:jc w:val="both"/>
      </w:pPr>
    </w:p>
    <w:p w:rsidR="008F068B" w:rsidRPr="003D0790" w:rsidRDefault="009D3D2F" w:rsidP="00764330">
      <w:pPr>
        <w:ind w:firstLine="540"/>
        <w:jc w:val="both"/>
      </w:pPr>
      <w:r w:rsidRPr="00D51477">
        <w:t>Valstybinė mokesčių inspekcija prie Lietuvos Respublikos finansų ministerijos</w:t>
      </w:r>
      <w:r w:rsidR="007E7E3A">
        <w:t xml:space="preserve"> (toliau – VMI prie </w:t>
      </w:r>
      <w:r w:rsidR="007E7E3A" w:rsidRPr="003D0790">
        <w:t>FM)</w:t>
      </w:r>
      <w:r w:rsidR="008F068B" w:rsidRPr="003D0790">
        <w:t xml:space="preserve">, atsižvelgdama į gyventojams kylančius neaiškumus dėl privalomojo sveikatos draudimo (toliau – PSD) įmokų mokėjimo, parengė atsakymus į aktualius gyventojų klausimus. </w:t>
      </w:r>
    </w:p>
    <w:p w:rsidR="008F068B" w:rsidRPr="003D0790" w:rsidRDefault="008F068B" w:rsidP="00764330">
      <w:pPr>
        <w:ind w:firstLine="540"/>
        <w:jc w:val="both"/>
      </w:pPr>
    </w:p>
    <w:p w:rsidR="008F068B" w:rsidRPr="003D0790" w:rsidRDefault="003D0790" w:rsidP="00AF60F9">
      <w:pPr>
        <w:ind w:firstLine="540"/>
        <w:jc w:val="both"/>
      </w:pPr>
      <w:r>
        <w:rPr>
          <w:b/>
        </w:rPr>
        <w:t xml:space="preserve">1. </w:t>
      </w:r>
      <w:r w:rsidR="008F068B" w:rsidRPr="003D0790">
        <w:rPr>
          <w:b/>
        </w:rPr>
        <w:t xml:space="preserve">Klausimas. </w:t>
      </w:r>
      <w:r w:rsidR="008F068B" w:rsidRPr="003D0790">
        <w:t>Ar reikia mokėti PSD įmokas emigrantams iš Lietuvos?</w:t>
      </w:r>
    </w:p>
    <w:p w:rsidR="003D0790" w:rsidRPr="003D0790" w:rsidRDefault="003D0790" w:rsidP="006624F0">
      <w:pPr>
        <w:ind w:firstLine="540"/>
        <w:jc w:val="both"/>
        <w:rPr>
          <w:lang w:eastAsia="lt-LT"/>
        </w:rPr>
      </w:pPr>
      <w:r w:rsidRPr="003D0790">
        <w:rPr>
          <w:b/>
        </w:rPr>
        <w:t xml:space="preserve">Atsakymas. </w:t>
      </w:r>
      <w:r w:rsidRPr="003D0790">
        <w:t xml:space="preserve">Pagal Lietuvos Respublikos sveikatos draudimo įstatymo 6 str. 1 dalies nuostatas, </w:t>
      </w:r>
      <w:r w:rsidRPr="003D0790">
        <w:rPr>
          <w:lang w:eastAsia="lt-LT"/>
        </w:rPr>
        <w:t>privalomuoju sveikatos draudimu yra draudžiami:</w:t>
      </w:r>
    </w:p>
    <w:p w:rsidR="003D0790" w:rsidRPr="003D0790" w:rsidRDefault="003D0790" w:rsidP="00AF60F9">
      <w:pPr>
        <w:ind w:firstLine="540"/>
        <w:jc w:val="both"/>
        <w:rPr>
          <w:lang w:eastAsia="lt-LT"/>
        </w:rPr>
      </w:pPr>
      <w:r w:rsidRPr="003D0790">
        <w:rPr>
          <w:lang w:eastAsia="lt-LT"/>
        </w:rPr>
        <w:t xml:space="preserve">1) Lietuvos Respublikos piliečiai ir užsieniečiai, </w:t>
      </w:r>
      <w:r w:rsidRPr="003D0790">
        <w:rPr>
          <w:b/>
          <w:lang w:eastAsia="lt-LT"/>
        </w:rPr>
        <w:t>nuolat gyvenantys Lietuvos Respublikoje</w:t>
      </w:r>
      <w:r w:rsidRPr="003D0790">
        <w:rPr>
          <w:lang w:eastAsia="lt-LT"/>
        </w:rPr>
        <w:t>;</w:t>
      </w:r>
    </w:p>
    <w:p w:rsidR="003D0790" w:rsidRDefault="003D0790" w:rsidP="00AF60F9">
      <w:pPr>
        <w:ind w:firstLine="540"/>
        <w:jc w:val="both"/>
        <w:rPr>
          <w:lang w:eastAsia="lt-LT"/>
        </w:rPr>
      </w:pPr>
      <w:r w:rsidRPr="003D0790">
        <w:rPr>
          <w:lang w:eastAsia="lt-LT"/>
        </w:rPr>
        <w:t xml:space="preserve">2) laikinai Lietuvos Respublikoje gyvenantys </w:t>
      </w:r>
      <w:r w:rsidRPr="003D0790">
        <w:rPr>
          <w:b/>
          <w:lang w:eastAsia="lt-LT"/>
        </w:rPr>
        <w:t>užsieniečiai, jeigu jie teisėtai dirba Lietuvos Respublikoje</w:t>
      </w:r>
      <w:r w:rsidRPr="003D0790">
        <w:rPr>
          <w:lang w:eastAsia="lt-LT"/>
        </w:rPr>
        <w:t>, bei nepilnamečiai jų šeimos nariai</w:t>
      </w:r>
      <w:r w:rsidR="004268B2">
        <w:rPr>
          <w:lang w:eastAsia="lt-LT"/>
        </w:rPr>
        <w:t>.</w:t>
      </w:r>
    </w:p>
    <w:p w:rsidR="00390855" w:rsidRDefault="00B61F73" w:rsidP="00AF60F9">
      <w:pPr>
        <w:ind w:firstLine="540"/>
        <w:jc w:val="both"/>
        <w:rPr>
          <w:lang w:eastAsia="lt-LT"/>
        </w:rPr>
      </w:pPr>
      <w:r>
        <w:rPr>
          <w:lang w:eastAsia="lt-LT"/>
        </w:rPr>
        <w:t xml:space="preserve">Vadinasi, </w:t>
      </w:r>
      <w:r w:rsidRPr="00390855">
        <w:rPr>
          <w:b/>
          <w:lang w:eastAsia="lt-LT"/>
        </w:rPr>
        <w:t>Lietuvos Respublikos piliečiams</w:t>
      </w:r>
      <w:r>
        <w:rPr>
          <w:lang w:eastAsia="lt-LT"/>
        </w:rPr>
        <w:t xml:space="preserve">, kurie yra išvykę iš Lietuvos ir </w:t>
      </w:r>
      <w:r w:rsidRPr="001D1CC7">
        <w:rPr>
          <w:b/>
          <w:lang w:eastAsia="lt-LT"/>
        </w:rPr>
        <w:t xml:space="preserve">Lietuvoje </w:t>
      </w:r>
      <w:r w:rsidRPr="00390855">
        <w:rPr>
          <w:b/>
          <w:lang w:eastAsia="lt-LT"/>
        </w:rPr>
        <w:t>nuolat negyvena, Lietuvoje PSD įmokų mokėti nereikia.</w:t>
      </w:r>
      <w:r>
        <w:rPr>
          <w:lang w:eastAsia="lt-LT"/>
        </w:rPr>
        <w:t xml:space="preserve"> </w:t>
      </w:r>
    </w:p>
    <w:p w:rsidR="00390855" w:rsidRPr="00C70594" w:rsidRDefault="00B61F73" w:rsidP="00AF60F9">
      <w:pPr>
        <w:ind w:firstLine="540"/>
        <w:jc w:val="both"/>
        <w:rPr>
          <w:lang w:eastAsia="lt-LT"/>
        </w:rPr>
      </w:pPr>
      <w:r w:rsidRPr="00390855">
        <w:rPr>
          <w:lang w:eastAsia="lt-LT"/>
        </w:rPr>
        <w:t xml:space="preserve">Prievolė mokėti PSD įmokas Lietuvos piliečiams atsiranda </w:t>
      </w:r>
      <w:r w:rsidR="007F42CE" w:rsidRPr="00390855">
        <w:rPr>
          <w:lang w:eastAsia="lt-LT"/>
        </w:rPr>
        <w:t xml:space="preserve">tik </w:t>
      </w:r>
      <w:r w:rsidRPr="00390855">
        <w:rPr>
          <w:lang w:eastAsia="lt-LT"/>
        </w:rPr>
        <w:t>tuomet,</w:t>
      </w:r>
      <w:r w:rsidRPr="00524E0F">
        <w:rPr>
          <w:b/>
          <w:lang w:eastAsia="lt-LT"/>
        </w:rPr>
        <w:t xml:space="preserve"> kai jie </w:t>
      </w:r>
      <w:r w:rsidRPr="007F42CE">
        <w:rPr>
          <w:b/>
          <w:u w:val="single"/>
          <w:lang w:eastAsia="lt-LT"/>
        </w:rPr>
        <w:t>pateikia nuolatinio Lietuvos gyventojo metinę pajamų deklaraciją</w:t>
      </w:r>
      <w:r w:rsidR="00764330" w:rsidRPr="007F42CE">
        <w:rPr>
          <w:b/>
          <w:u w:val="single"/>
          <w:lang w:eastAsia="lt-LT"/>
        </w:rPr>
        <w:t xml:space="preserve"> už 2009 metų mokestinį laikotarpį</w:t>
      </w:r>
      <w:r>
        <w:rPr>
          <w:lang w:eastAsia="lt-LT"/>
        </w:rPr>
        <w:t xml:space="preserve">, kadangi šia deklaracija asmuo patvirtina, jog </w:t>
      </w:r>
      <w:r w:rsidR="00390855">
        <w:rPr>
          <w:lang w:eastAsia="lt-LT"/>
        </w:rPr>
        <w:t>gavo pajamų ne tik užsienyje, bet ir Lietuvoje</w:t>
      </w:r>
      <w:r w:rsidR="00BC518C">
        <w:rPr>
          <w:lang w:eastAsia="lt-LT"/>
        </w:rPr>
        <w:t>,</w:t>
      </w:r>
      <w:r w:rsidR="00390855">
        <w:rPr>
          <w:lang w:eastAsia="lt-LT"/>
        </w:rPr>
        <w:t xml:space="preserve"> ir </w:t>
      </w:r>
      <w:r>
        <w:rPr>
          <w:lang w:eastAsia="lt-LT"/>
        </w:rPr>
        <w:t xml:space="preserve">yra nuolatinis Lietuvos gyventojas. </w:t>
      </w:r>
      <w:r w:rsidR="00C70594">
        <w:rPr>
          <w:lang w:eastAsia="lt-LT"/>
        </w:rPr>
        <w:t xml:space="preserve">Gyventojui neatsiranda pareiga teikti </w:t>
      </w:r>
      <w:r w:rsidR="00C70594" w:rsidRPr="00C70594">
        <w:rPr>
          <w:lang w:eastAsia="lt-LT"/>
        </w:rPr>
        <w:t xml:space="preserve">Metinę pajamų deklaraciją </w:t>
      </w:r>
      <w:r w:rsidR="00C70594">
        <w:rPr>
          <w:lang w:eastAsia="lt-LT"/>
        </w:rPr>
        <w:t>k</w:t>
      </w:r>
      <w:r w:rsidR="00C70594" w:rsidRPr="00C70594">
        <w:rPr>
          <w:lang w:eastAsia="lt-LT"/>
        </w:rPr>
        <w:t>itais, nei Lietuvos Respublikos gyventojų pajamų mokesčio įstatyme nustatytais, pagrindais</w:t>
      </w:r>
      <w:r w:rsidR="00C70594">
        <w:rPr>
          <w:lang w:eastAsia="lt-LT"/>
        </w:rPr>
        <w:t>.</w:t>
      </w:r>
    </w:p>
    <w:p w:rsidR="00524E0F" w:rsidRDefault="00390855" w:rsidP="00AF60F9">
      <w:pPr>
        <w:ind w:firstLine="540"/>
        <w:jc w:val="both"/>
        <w:rPr>
          <w:lang w:eastAsia="lt-LT"/>
        </w:rPr>
      </w:pPr>
      <w:r>
        <w:rPr>
          <w:lang w:eastAsia="lt-LT"/>
        </w:rPr>
        <w:t xml:space="preserve">Prievolės mokėti PSD įmokas Lietuvos piliečiams neatsiranda ir tais atvejais, kai </w:t>
      </w:r>
      <w:r w:rsidR="00524E0F">
        <w:rPr>
          <w:lang w:eastAsia="lt-LT"/>
        </w:rPr>
        <w:t>tam tikrais</w:t>
      </w:r>
      <w:r w:rsidR="00B61F73">
        <w:rPr>
          <w:lang w:eastAsia="lt-LT"/>
        </w:rPr>
        <w:t xml:space="preserve"> deklaruojamais 2009 </w:t>
      </w:r>
      <w:r w:rsidR="00764330">
        <w:rPr>
          <w:lang w:eastAsia="lt-LT"/>
        </w:rPr>
        <w:t>metų laikotarpiais gyventojas buvo išvykęs į u</w:t>
      </w:r>
      <w:r w:rsidR="00524E0F">
        <w:rPr>
          <w:lang w:eastAsia="lt-LT"/>
        </w:rPr>
        <w:t>žsienio valstybę ir:</w:t>
      </w:r>
    </w:p>
    <w:p w:rsidR="001D1CC7" w:rsidRDefault="001D1CC7" w:rsidP="00AF60F9">
      <w:pPr>
        <w:ind w:firstLine="540"/>
        <w:jc w:val="both"/>
        <w:rPr>
          <w:lang w:eastAsia="lt-LT"/>
        </w:rPr>
      </w:pPr>
      <w:r>
        <w:rPr>
          <w:lang w:eastAsia="lt-LT"/>
        </w:rPr>
        <w:t xml:space="preserve">1) </w:t>
      </w:r>
      <w:r w:rsidRPr="001D1CC7">
        <w:rPr>
          <w:b/>
          <w:lang w:eastAsia="lt-LT"/>
        </w:rPr>
        <w:t>pateikia nuolatinio Lietuvos gyventojo metinę pajamų deklaraciją už 2009 metų mokestinį laikotarpį</w:t>
      </w:r>
      <w:r>
        <w:rPr>
          <w:lang w:eastAsia="lt-LT"/>
        </w:rPr>
        <w:t>; ir</w:t>
      </w:r>
    </w:p>
    <w:p w:rsidR="004268B2" w:rsidRDefault="00764330" w:rsidP="00AF60F9">
      <w:pPr>
        <w:numPr>
          <w:ilvl w:val="0"/>
          <w:numId w:val="25"/>
        </w:numPr>
        <w:tabs>
          <w:tab w:val="clear" w:pos="1500"/>
          <w:tab w:val="num" w:pos="0"/>
          <w:tab w:val="left" w:pos="900"/>
        </w:tabs>
        <w:ind w:left="0" w:firstLine="540"/>
        <w:jc w:val="both"/>
        <w:rPr>
          <w:lang w:eastAsia="lt-LT"/>
        </w:rPr>
      </w:pPr>
      <w:r>
        <w:rPr>
          <w:lang w:eastAsia="lt-LT"/>
        </w:rPr>
        <w:t>buvo draudžiamas privalomuoju sveikatos draudimu Europos Sąjungos</w:t>
      </w:r>
      <w:r w:rsidR="00410865">
        <w:rPr>
          <w:lang w:eastAsia="lt-LT"/>
        </w:rPr>
        <w:t xml:space="preserve"> (toliau – ES)</w:t>
      </w:r>
      <w:r>
        <w:rPr>
          <w:lang w:eastAsia="lt-LT"/>
        </w:rPr>
        <w:t>, Europo</w:t>
      </w:r>
      <w:r w:rsidR="00524E0F">
        <w:rPr>
          <w:lang w:eastAsia="lt-LT"/>
        </w:rPr>
        <w:t>s ekonominės erdvės</w:t>
      </w:r>
      <w:r w:rsidR="00410865">
        <w:rPr>
          <w:lang w:eastAsia="lt-LT"/>
        </w:rPr>
        <w:t xml:space="preserve"> (toliau – EEE)</w:t>
      </w:r>
      <w:r w:rsidR="00524E0F">
        <w:rPr>
          <w:lang w:eastAsia="lt-LT"/>
        </w:rPr>
        <w:t xml:space="preserve"> valstybėse narėse ar Šveicarijoje; ir</w:t>
      </w:r>
    </w:p>
    <w:p w:rsidR="008F068B" w:rsidRDefault="00524E0F" w:rsidP="00AF60F9">
      <w:pPr>
        <w:numPr>
          <w:ilvl w:val="0"/>
          <w:numId w:val="25"/>
        </w:numPr>
        <w:tabs>
          <w:tab w:val="clear" w:pos="1500"/>
          <w:tab w:val="num" w:pos="900"/>
        </w:tabs>
        <w:ind w:left="0" w:firstLine="540"/>
        <w:jc w:val="both"/>
      </w:pPr>
      <w:r>
        <w:rPr>
          <w:lang w:eastAsia="lt-LT"/>
        </w:rPr>
        <w:t>pateikia atitinkamos formos dokumentą (E formos pažymą arba kompetentingos užsienio institucijos</w:t>
      </w:r>
      <w:r w:rsidR="00410865">
        <w:rPr>
          <w:lang w:eastAsia="lt-LT"/>
        </w:rPr>
        <w:t xml:space="preserve"> išduotą laisvos formos pažymą) įrodantį, kad gyventojas atitinkamais 2009 metų laikotarpiais buvo apdraustas privalomuoju sveikatos draudimu užsienyje.</w:t>
      </w:r>
    </w:p>
    <w:p w:rsidR="007F42CE" w:rsidRPr="001D1CC7" w:rsidRDefault="007F42CE" w:rsidP="007F42CE">
      <w:pPr>
        <w:ind w:firstLine="540"/>
        <w:jc w:val="both"/>
        <w:rPr>
          <w:u w:val="single"/>
          <w:lang w:eastAsia="lt-LT"/>
        </w:rPr>
      </w:pPr>
      <w:r w:rsidRPr="001D1CC7">
        <w:rPr>
          <w:u w:val="single"/>
          <w:lang w:eastAsia="lt-LT"/>
        </w:rPr>
        <w:t xml:space="preserve">Gyventojui, vadovaujantis Lietuvos bei ES teisės aktais, atsiras </w:t>
      </w:r>
      <w:r w:rsidRPr="001D1CC7">
        <w:rPr>
          <w:b/>
          <w:u w:val="single"/>
          <w:lang w:eastAsia="lt-LT"/>
        </w:rPr>
        <w:t>prievolė sumokėti PSD įmokas už tuos 2009 metų laikotarpius (72 Lt už kiekvieną mėnesį) tik tais atvejais, jeigu</w:t>
      </w:r>
      <w:r w:rsidRPr="001D1CC7">
        <w:rPr>
          <w:u w:val="single"/>
          <w:lang w:eastAsia="lt-LT"/>
        </w:rPr>
        <w:t>:</w:t>
      </w:r>
    </w:p>
    <w:p w:rsidR="007F42CE" w:rsidRDefault="007F42CE" w:rsidP="00AF60F9">
      <w:pPr>
        <w:ind w:firstLine="540"/>
        <w:jc w:val="both"/>
        <w:rPr>
          <w:u w:val="single"/>
          <w:lang w:eastAsia="lt-LT"/>
        </w:rPr>
      </w:pPr>
      <w:r>
        <w:rPr>
          <w:lang w:eastAsia="lt-LT"/>
        </w:rPr>
        <w:t>1) j</w:t>
      </w:r>
      <w:r w:rsidR="00410865">
        <w:rPr>
          <w:lang w:eastAsia="lt-LT"/>
        </w:rPr>
        <w:t xml:space="preserve">eigu gyventojas </w:t>
      </w:r>
      <w:r w:rsidR="00410865" w:rsidRPr="007F42CE">
        <w:rPr>
          <w:u w:val="single"/>
          <w:lang w:eastAsia="lt-LT"/>
        </w:rPr>
        <w:t xml:space="preserve">teiks </w:t>
      </w:r>
      <w:r>
        <w:rPr>
          <w:u w:val="single"/>
          <w:lang w:eastAsia="lt-LT"/>
        </w:rPr>
        <w:t>(</w:t>
      </w:r>
      <w:r w:rsidR="00410865" w:rsidRPr="007F42CE">
        <w:rPr>
          <w:u w:val="single"/>
          <w:lang w:eastAsia="lt-LT"/>
        </w:rPr>
        <w:t>iki 2010-05-03) gyventojo metinę pajamų deklaraciją už 2009 metų mokestinį laikotarpį</w:t>
      </w:r>
      <w:r>
        <w:rPr>
          <w:u w:val="single"/>
          <w:lang w:eastAsia="lt-LT"/>
        </w:rPr>
        <w:t>; ir</w:t>
      </w:r>
    </w:p>
    <w:p w:rsidR="00410865" w:rsidRDefault="007F42CE" w:rsidP="00AF60F9">
      <w:pPr>
        <w:ind w:firstLine="540"/>
        <w:jc w:val="both"/>
        <w:rPr>
          <w:lang w:eastAsia="lt-LT"/>
        </w:rPr>
      </w:pPr>
      <w:r>
        <w:rPr>
          <w:lang w:eastAsia="lt-LT"/>
        </w:rPr>
        <w:t xml:space="preserve"> 2) </w:t>
      </w:r>
      <w:r w:rsidR="00410865">
        <w:rPr>
          <w:lang w:eastAsia="lt-LT"/>
        </w:rPr>
        <w:t>netur</w:t>
      </w:r>
      <w:r w:rsidR="00AF60F9">
        <w:rPr>
          <w:lang w:eastAsia="lt-LT"/>
        </w:rPr>
        <w:t>ės</w:t>
      </w:r>
      <w:r w:rsidR="00410865">
        <w:rPr>
          <w:lang w:eastAsia="lt-LT"/>
        </w:rPr>
        <w:t xml:space="preserve"> jo draustumą atitinkamose valstybėse (ES, EEE ar Šveicarijoje)</w:t>
      </w:r>
      <w:r>
        <w:rPr>
          <w:lang w:eastAsia="lt-LT"/>
        </w:rPr>
        <w:t xml:space="preserve"> patvirtinančių dokumentų.</w:t>
      </w:r>
    </w:p>
    <w:p w:rsidR="007F42CE" w:rsidRDefault="007F42CE" w:rsidP="00AF60F9">
      <w:pPr>
        <w:ind w:firstLine="540"/>
        <w:jc w:val="both"/>
        <w:rPr>
          <w:lang w:eastAsia="lt-LT"/>
        </w:rPr>
      </w:pPr>
      <w:r>
        <w:rPr>
          <w:lang w:eastAsia="lt-LT"/>
        </w:rPr>
        <w:lastRenderedPageBreak/>
        <w:t xml:space="preserve">Jeigu gyventojas </w:t>
      </w:r>
      <w:r w:rsidRPr="007F42CE">
        <w:rPr>
          <w:u w:val="single"/>
          <w:lang w:eastAsia="lt-LT"/>
        </w:rPr>
        <w:t xml:space="preserve">teiks </w:t>
      </w:r>
      <w:r>
        <w:rPr>
          <w:u w:val="single"/>
          <w:lang w:eastAsia="lt-LT"/>
        </w:rPr>
        <w:t>(</w:t>
      </w:r>
      <w:r w:rsidRPr="007F42CE">
        <w:rPr>
          <w:u w:val="single"/>
          <w:lang w:eastAsia="lt-LT"/>
        </w:rPr>
        <w:t>iki 2010-05-03) gyventojo metinę pajamų deklaraciją už 2009 metų mokestinį laikotarpį</w:t>
      </w:r>
      <w:r>
        <w:rPr>
          <w:lang w:eastAsia="lt-LT"/>
        </w:rPr>
        <w:t xml:space="preserve"> ir atitinkamais 2009 metų mėnesiais buvo išvykęs į kitas, nei ES, EEE valstybes nares ar Šveicariją, jam PSD įmokas už tuos 2009 metų mėnesius sumokėti </w:t>
      </w:r>
      <w:r w:rsidR="001D1CC7">
        <w:rPr>
          <w:lang w:eastAsia="lt-LT"/>
        </w:rPr>
        <w:t xml:space="preserve">taip pat </w:t>
      </w:r>
      <w:r>
        <w:rPr>
          <w:lang w:eastAsia="lt-LT"/>
        </w:rPr>
        <w:t>reikės.</w:t>
      </w:r>
    </w:p>
    <w:p w:rsidR="00AF60F9" w:rsidRDefault="00AF60F9" w:rsidP="00410865">
      <w:pPr>
        <w:ind w:firstLine="540"/>
        <w:jc w:val="both"/>
        <w:rPr>
          <w:lang w:eastAsia="lt-LT"/>
        </w:rPr>
      </w:pPr>
    </w:p>
    <w:p w:rsidR="00AF60F9" w:rsidRDefault="0098050E" w:rsidP="00410865">
      <w:pPr>
        <w:ind w:firstLine="540"/>
        <w:jc w:val="both"/>
        <w:rPr>
          <w:lang w:eastAsia="lt-LT"/>
        </w:rPr>
      </w:pPr>
      <w:r>
        <w:rPr>
          <w:b/>
          <w:lang w:eastAsia="lt-LT"/>
        </w:rPr>
        <w:t>2. Klausimas.</w:t>
      </w:r>
      <w:r w:rsidR="003F38D1">
        <w:rPr>
          <w:b/>
          <w:lang w:eastAsia="lt-LT"/>
        </w:rPr>
        <w:t xml:space="preserve"> </w:t>
      </w:r>
      <w:r w:rsidR="00B62890">
        <w:rPr>
          <w:lang w:eastAsia="lt-LT"/>
        </w:rPr>
        <w:t xml:space="preserve">Kokiais įmokų kodais reikia sumokėti </w:t>
      </w:r>
      <w:r w:rsidR="00561017">
        <w:rPr>
          <w:lang w:eastAsia="lt-LT"/>
        </w:rPr>
        <w:t>PSD įmokas už 2009 metus ir už einamuosius (2010) metus gyventojams</w:t>
      </w:r>
      <w:r w:rsidR="00561017" w:rsidRPr="0098050E">
        <w:rPr>
          <w:lang w:eastAsia="lt-LT"/>
        </w:rPr>
        <w:t>, kurie</w:t>
      </w:r>
      <w:r w:rsidR="00561017">
        <w:rPr>
          <w:b/>
          <w:lang w:eastAsia="lt-LT"/>
        </w:rPr>
        <w:t xml:space="preserve"> </w:t>
      </w:r>
      <w:r w:rsidR="00561017" w:rsidRPr="0098050E">
        <w:rPr>
          <w:lang w:eastAsia="lt-LT"/>
        </w:rPr>
        <w:t>yra ekonomiškai neaktyvūs, nemoka PSD įmokų</w:t>
      </w:r>
      <w:r w:rsidR="00561017">
        <w:rPr>
          <w:lang w:eastAsia="lt-LT"/>
        </w:rPr>
        <w:t xml:space="preserve"> jokiais kitais pagrindais, nėra apdrausti valstybės lėšomis ir privalo mokėti šias įmokas savarankiškai</w:t>
      </w:r>
      <w:r w:rsidR="00B62890">
        <w:rPr>
          <w:lang w:eastAsia="lt-LT"/>
        </w:rPr>
        <w:t>?</w:t>
      </w:r>
    </w:p>
    <w:p w:rsidR="005C50DD" w:rsidRPr="005C50DD" w:rsidRDefault="006624F0" w:rsidP="00561017">
      <w:pPr>
        <w:tabs>
          <w:tab w:val="left" w:pos="900"/>
        </w:tabs>
        <w:ind w:firstLine="540"/>
        <w:jc w:val="both"/>
        <w:rPr>
          <w:lang w:eastAsia="lt-LT"/>
        </w:rPr>
      </w:pPr>
      <w:r w:rsidRPr="006624F0">
        <w:rPr>
          <w:b/>
          <w:lang w:eastAsia="lt-LT"/>
        </w:rPr>
        <w:t>Atsakymas.</w:t>
      </w:r>
      <w:r>
        <w:rPr>
          <w:lang w:eastAsia="lt-LT"/>
        </w:rPr>
        <w:t xml:space="preserve"> </w:t>
      </w:r>
      <w:r w:rsidR="005C50DD" w:rsidRPr="005C50DD">
        <w:t xml:space="preserve">Tais atvejais, kai gyventojas neteiks </w:t>
      </w:r>
      <w:r w:rsidR="009522F9">
        <w:t xml:space="preserve">(jam tokios prievolės nėra) </w:t>
      </w:r>
      <w:r w:rsidR="005C50DD" w:rsidRPr="005C50DD">
        <w:rPr>
          <w:lang w:eastAsia="lt-LT"/>
        </w:rPr>
        <w:t>gyventojo metinės pajamų deklaracijos už 2009 metų mokestinį laikotarpį</w:t>
      </w:r>
      <w:r w:rsidR="005C50DD">
        <w:rPr>
          <w:lang w:eastAsia="lt-LT"/>
        </w:rPr>
        <w:t xml:space="preserve">, tačiau mokės PSD įmoką už praėjusį 2009 metų mokestinį laikotarpį, šiems gyventojams rekomenduojame </w:t>
      </w:r>
      <w:r w:rsidR="005C50DD" w:rsidRPr="005C50DD">
        <w:rPr>
          <w:b/>
          <w:lang w:eastAsia="lt-LT"/>
        </w:rPr>
        <w:t xml:space="preserve">pateikti gyventojo metinę pajamų deklaraciją ir PSD </w:t>
      </w:r>
      <w:r w:rsidR="005C50DD">
        <w:rPr>
          <w:b/>
          <w:lang w:eastAsia="lt-LT"/>
        </w:rPr>
        <w:t xml:space="preserve">įmoką </w:t>
      </w:r>
      <w:r w:rsidR="005C50DD" w:rsidRPr="005C50DD">
        <w:rPr>
          <w:b/>
          <w:lang w:eastAsia="lt-LT"/>
        </w:rPr>
        <w:t>už praėjusį laikotarpį sumokėti įmokos kodu 1781</w:t>
      </w:r>
      <w:r w:rsidR="005C50DD">
        <w:rPr>
          <w:lang w:eastAsia="lt-LT"/>
        </w:rPr>
        <w:t>.</w:t>
      </w:r>
    </w:p>
    <w:p w:rsidR="005C50DD" w:rsidRPr="0098050E" w:rsidRDefault="005C50DD" w:rsidP="00DF432C">
      <w:pPr>
        <w:ind w:left="540"/>
        <w:jc w:val="both"/>
      </w:pPr>
    </w:p>
    <w:p w:rsidR="008F068B" w:rsidRDefault="00DF432C" w:rsidP="008B0229">
      <w:pPr>
        <w:ind w:firstLine="540"/>
        <w:jc w:val="both"/>
        <w:textAlignment w:val="top"/>
      </w:pPr>
      <w:r w:rsidRPr="004501C4">
        <w:rPr>
          <w:b/>
        </w:rPr>
        <w:t xml:space="preserve">VMI prie FM </w:t>
      </w:r>
      <w:r w:rsidR="00947CA5" w:rsidRPr="004501C4">
        <w:rPr>
          <w:b/>
        </w:rPr>
        <w:t>rekomenduoja</w:t>
      </w:r>
      <w:r w:rsidR="00947CA5">
        <w:t xml:space="preserve"> gyventojams, kurie privalo savarankiškai mokėti PSD įmokas (yra neapdrausti jokioje kitoje draudžiamųjų kategorijoje ir nėra apdrausti valstybės lėšomis), mokėti PSD įmokas už </w:t>
      </w:r>
      <w:r w:rsidR="004501C4">
        <w:t xml:space="preserve">einamuosius </w:t>
      </w:r>
      <w:r w:rsidR="00947CA5">
        <w:t>2010 metus</w:t>
      </w:r>
      <w:r w:rsidR="005C50DD">
        <w:t xml:space="preserve"> (</w:t>
      </w:r>
      <w:r w:rsidR="005C50DD" w:rsidRPr="005C50DD">
        <w:rPr>
          <w:b/>
        </w:rPr>
        <w:t>įmokos kodas 1901</w:t>
      </w:r>
      <w:r w:rsidR="005C50DD">
        <w:t>)</w:t>
      </w:r>
      <w:r w:rsidR="00947CA5">
        <w:t xml:space="preserve"> tam, kad būtų apdrausti šiandien ir galėtų gauti nemokamas sveikatos priežiūros paslaugas</w:t>
      </w:r>
      <w:r w:rsidR="004501C4">
        <w:t xml:space="preserve"> jų prireikus</w:t>
      </w:r>
      <w:r w:rsidR="00947CA5">
        <w:t>. PSD įmokas galima susimokėti į priekį, tačiau tik už einamuosius</w:t>
      </w:r>
      <w:r w:rsidR="004501C4">
        <w:t>,</w:t>
      </w:r>
      <w:r w:rsidR="00947CA5">
        <w:t xml:space="preserve"> </w:t>
      </w:r>
      <w:r w:rsidR="004501C4">
        <w:t xml:space="preserve">t. y. už 2010, </w:t>
      </w:r>
      <w:r w:rsidR="00947CA5">
        <w:t>metus</w:t>
      </w:r>
      <w:r w:rsidR="004501C4">
        <w:t>.</w:t>
      </w:r>
    </w:p>
    <w:p w:rsidR="00FE48A5" w:rsidRDefault="00FE48A5" w:rsidP="00567F58">
      <w:pPr>
        <w:ind w:firstLine="540"/>
        <w:jc w:val="both"/>
        <w:textAlignment w:val="top"/>
      </w:pPr>
    </w:p>
    <w:p w:rsidR="00336CE6" w:rsidRDefault="00336CE6" w:rsidP="00567F58">
      <w:pPr>
        <w:ind w:firstLine="540"/>
        <w:jc w:val="both"/>
        <w:textAlignment w:val="top"/>
      </w:pPr>
    </w:p>
    <w:p w:rsidR="00336CE6" w:rsidRDefault="00336CE6" w:rsidP="00567F58">
      <w:pPr>
        <w:ind w:firstLine="540"/>
        <w:jc w:val="both"/>
        <w:textAlignment w:val="top"/>
      </w:pPr>
    </w:p>
    <w:p w:rsidR="00FE48A5" w:rsidRDefault="00FE48A5" w:rsidP="00567F58">
      <w:pPr>
        <w:ind w:firstLine="540"/>
        <w:jc w:val="both"/>
        <w:textAlignment w:val="top"/>
      </w:pPr>
    </w:p>
    <w:p w:rsidR="00FE48A5" w:rsidRDefault="00FE48A5" w:rsidP="00567F58">
      <w:pPr>
        <w:ind w:firstLine="540"/>
        <w:jc w:val="both"/>
        <w:textAlignment w:val="top"/>
      </w:pPr>
    </w:p>
    <w:p w:rsidR="00723E76" w:rsidRPr="00257398" w:rsidRDefault="00723E76" w:rsidP="000E66A1">
      <w:pPr>
        <w:jc w:val="both"/>
        <w:textAlignment w:val="top"/>
        <w:rPr>
          <w:bCs/>
        </w:rPr>
      </w:pPr>
    </w:p>
    <w:p w:rsidR="008569C2" w:rsidRDefault="008C0309">
      <w:r>
        <w:t>Pagarbiai</w:t>
      </w:r>
    </w:p>
    <w:p w:rsidR="00723E76" w:rsidRDefault="00723E76"/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694"/>
        <w:gridCol w:w="3616"/>
      </w:tblGrid>
      <w:tr w:rsidR="009D3D2F" w:rsidTr="007E6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vAlign w:val="bottom"/>
          </w:tcPr>
          <w:p w:rsidR="009D3D2F" w:rsidRDefault="007E613E">
            <w:pPr>
              <w:tabs>
                <w:tab w:val="left" w:pos="4820"/>
                <w:tab w:val="left" w:pos="7229"/>
              </w:tabs>
              <w:rPr>
                <w:color w:val="000000"/>
              </w:rPr>
            </w:pPr>
            <w:r>
              <w:rPr>
                <w:color w:val="000000"/>
              </w:rPr>
              <w:t>Viršininko pavaduotoja</w:t>
            </w:r>
          </w:p>
        </w:tc>
        <w:tc>
          <w:tcPr>
            <w:tcW w:w="2694" w:type="dxa"/>
            <w:vAlign w:val="bottom"/>
          </w:tcPr>
          <w:p w:rsidR="009D3D2F" w:rsidRDefault="009D3D2F">
            <w:pPr>
              <w:tabs>
                <w:tab w:val="left" w:pos="4820"/>
                <w:tab w:val="left" w:pos="7229"/>
              </w:tabs>
              <w:jc w:val="center"/>
              <w:rPr>
                <w:color w:val="000000"/>
              </w:rPr>
            </w:pPr>
          </w:p>
        </w:tc>
        <w:tc>
          <w:tcPr>
            <w:tcW w:w="3616" w:type="dxa"/>
            <w:vAlign w:val="bottom"/>
          </w:tcPr>
          <w:p w:rsidR="009D3D2F" w:rsidRDefault="007E613E" w:rsidP="007E613E">
            <w:pPr>
              <w:tabs>
                <w:tab w:val="left" w:pos="4820"/>
                <w:tab w:val="left" w:pos="722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Vilma Vildžiūnaitė</w:t>
            </w:r>
          </w:p>
        </w:tc>
      </w:tr>
    </w:tbl>
    <w:p w:rsidR="00BA31D3" w:rsidRDefault="00BA31D3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49482D" w:rsidRDefault="0049482D">
      <w:pPr>
        <w:rPr>
          <w:sz w:val="22"/>
          <w:szCs w:val="22"/>
        </w:rPr>
      </w:pPr>
    </w:p>
    <w:p w:rsidR="00AE3520" w:rsidRDefault="00AE3520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561017" w:rsidRDefault="00561017">
      <w:pPr>
        <w:rPr>
          <w:sz w:val="22"/>
          <w:szCs w:val="22"/>
        </w:rPr>
      </w:pPr>
    </w:p>
    <w:p w:rsidR="00561017" w:rsidRDefault="00561017">
      <w:pPr>
        <w:rPr>
          <w:sz w:val="22"/>
          <w:szCs w:val="22"/>
        </w:rPr>
      </w:pPr>
    </w:p>
    <w:p w:rsidR="00561017" w:rsidRDefault="00561017">
      <w:pPr>
        <w:rPr>
          <w:sz w:val="22"/>
          <w:szCs w:val="22"/>
        </w:rPr>
      </w:pPr>
    </w:p>
    <w:p w:rsidR="00561017" w:rsidRDefault="00561017">
      <w:pPr>
        <w:rPr>
          <w:sz w:val="22"/>
          <w:szCs w:val="22"/>
        </w:rPr>
      </w:pPr>
    </w:p>
    <w:p w:rsidR="00561017" w:rsidRDefault="00561017">
      <w:pPr>
        <w:rPr>
          <w:sz w:val="22"/>
          <w:szCs w:val="22"/>
        </w:rPr>
      </w:pPr>
    </w:p>
    <w:p w:rsidR="00561017" w:rsidRDefault="00561017">
      <w:pPr>
        <w:rPr>
          <w:sz w:val="22"/>
          <w:szCs w:val="22"/>
        </w:rPr>
      </w:pPr>
    </w:p>
    <w:p w:rsidR="004501C4" w:rsidRDefault="004501C4">
      <w:pPr>
        <w:rPr>
          <w:sz w:val="22"/>
          <w:szCs w:val="22"/>
        </w:rPr>
      </w:pPr>
    </w:p>
    <w:p w:rsidR="00BA31D3" w:rsidRPr="00C73689" w:rsidRDefault="00C73689" w:rsidP="00C73689">
      <w:pPr>
        <w:rPr>
          <w:sz w:val="22"/>
          <w:szCs w:val="22"/>
        </w:rPr>
      </w:pPr>
      <w:r>
        <w:rPr>
          <w:sz w:val="22"/>
          <w:szCs w:val="22"/>
        </w:rPr>
        <w:t xml:space="preserve">Aušra Janukonytė, tel. (8 5) 2191758, el. p. </w:t>
      </w:r>
      <w:hyperlink r:id="rId7" w:history="1">
        <w:r>
          <w:rPr>
            <w:rStyle w:val="Hyperlink"/>
            <w:sz w:val="22"/>
            <w:szCs w:val="22"/>
          </w:rPr>
          <w:t>A.Janukonyte</w:t>
        </w:r>
        <w:r>
          <w:rPr>
            <w:rStyle w:val="Hyperlink"/>
            <w:sz w:val="22"/>
            <w:szCs w:val="22"/>
            <w:lang w:val="en-US"/>
          </w:rPr>
          <w:t>@vmi.lt</w:t>
        </w:r>
      </w:hyperlink>
    </w:p>
    <w:sectPr w:rsidR="00BA31D3" w:rsidRPr="00C73689" w:rsidSect="0049482D">
      <w:headerReference w:type="even" r:id="rId8"/>
      <w:headerReference w:type="default" r:id="rId9"/>
      <w:headerReference w:type="first" r:id="rId10"/>
      <w:pgSz w:w="11906" w:h="16838" w:code="9"/>
      <w:pgMar w:top="1134" w:right="746" w:bottom="1079" w:left="1701" w:header="39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84" w:rsidRDefault="00DC2784">
      <w:r>
        <w:separator/>
      </w:r>
    </w:p>
  </w:endnote>
  <w:endnote w:type="continuationSeparator" w:id="0">
    <w:p w:rsidR="00DC2784" w:rsidRDefault="00DC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84" w:rsidRDefault="00DC2784">
      <w:r>
        <w:separator/>
      </w:r>
    </w:p>
  </w:footnote>
  <w:footnote w:type="continuationSeparator" w:id="0">
    <w:p w:rsidR="00DC2784" w:rsidRDefault="00DC2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06" w:rsidRDefault="00E23F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F06" w:rsidRDefault="00E23F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06" w:rsidRDefault="00E23F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941">
      <w:rPr>
        <w:rStyle w:val="PageNumber"/>
        <w:noProof/>
      </w:rPr>
      <w:t>2</w:t>
    </w:r>
    <w:r>
      <w:rPr>
        <w:rStyle w:val="PageNumber"/>
      </w:rPr>
      <w:fldChar w:fldCharType="end"/>
    </w:r>
  </w:p>
  <w:p w:rsidR="00E23F06" w:rsidRDefault="00E23F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06" w:rsidRDefault="00E23F06">
    <w:pPr>
      <w:pStyle w:val="Header"/>
    </w:pPr>
  </w:p>
  <w:p w:rsidR="00723E76" w:rsidRDefault="00723E76">
    <w:pPr>
      <w:pStyle w:val="Header"/>
    </w:pPr>
  </w:p>
  <w:p w:rsidR="00017C93" w:rsidRDefault="00017C93">
    <w:pPr>
      <w:pStyle w:val="Header"/>
    </w:pPr>
  </w:p>
  <w:p w:rsidR="00E23F06" w:rsidRDefault="00E23F0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pt;margin-top:.85pt;width:2in;height:27pt;z-index:251658240;mso-wrap-edited:f" wrapcoords="-120 0 -120 21600 21720 21600 21720 0 -120 0" o:allowincell="f" stroked="f">
          <v:textbox style="mso-next-textbox:#_x0000_s2050" inset="0,0,0,0">
            <w:txbxContent>
              <w:p w:rsidR="00E23F06" w:rsidRDefault="00E23F06">
                <w:pPr>
                  <w:pStyle w:val="Footer"/>
                  <w:tabs>
                    <w:tab w:val="clear" w:pos="4153"/>
                    <w:tab w:val="clear" w:pos="8306"/>
                  </w:tabs>
                  <w:rPr>
                    <w:b/>
                    <w:lang w:val="en-US"/>
                  </w:rPr>
                </w:pPr>
              </w:p>
            </w:txbxContent>
          </v:textbox>
          <w10:wrap type="tight"/>
        </v:shape>
      </w:pict>
    </w:r>
  </w:p>
  <w:p w:rsidR="00E23F06" w:rsidRDefault="00666941">
    <w:pPr>
      <w:pStyle w:val="Header"/>
      <w:jc w:val="center"/>
      <w:rPr>
        <w:lang w:val="lt-LT"/>
      </w:rPr>
    </w:pPr>
    <w:r>
      <w:rPr>
        <w:noProof/>
        <w:color w:val="000000"/>
        <w:lang w:eastAsia="zh-CN"/>
      </w:rPr>
      <w:drawing>
        <wp:inline distT="0" distB="0" distL="0" distR="0">
          <wp:extent cx="542925" cy="5524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3F06" w:rsidRDefault="00E23F06">
    <w:pPr>
      <w:jc w:val="center"/>
      <w:rPr>
        <w:b/>
      </w:rPr>
    </w:pPr>
    <w:r>
      <w:rPr>
        <w:b/>
      </w:rPr>
      <w:t>VALSTYBINĖ MOKESČIŲ INSPEKCIJA</w:t>
    </w:r>
  </w:p>
  <w:p w:rsidR="00E23F06" w:rsidRDefault="00E23F06">
    <w:pPr>
      <w:pStyle w:val="Heading1"/>
    </w:pPr>
    <w:r>
      <w:t>PRIE LIETUVOS RESPUBLIKOS FINANSŲ MINISTERIJOS</w:t>
    </w:r>
  </w:p>
  <w:p w:rsidR="00E23F06" w:rsidRDefault="00E23F06">
    <w:pPr>
      <w:jc w:val="center"/>
      <w:rPr>
        <w:sz w:val="20"/>
      </w:rPr>
    </w:pPr>
    <w:r>
      <w:rPr>
        <w:sz w:val="20"/>
        <w:szCs w:val="20"/>
      </w:rPr>
      <w:t>Valstybės biudžetinė įstaiga</w:t>
    </w:r>
    <w:r>
      <w:rPr>
        <w:sz w:val="20"/>
      </w:rPr>
      <w:t>, Vasario 16-osios g. 15, LT-01514 Vilnius,</w:t>
    </w:r>
  </w:p>
  <w:p w:rsidR="00E23F06" w:rsidRDefault="00E23F06">
    <w:pPr>
      <w:jc w:val="center"/>
      <w:rPr>
        <w:sz w:val="20"/>
      </w:rPr>
    </w:pPr>
    <w:r>
      <w:rPr>
        <w:sz w:val="20"/>
      </w:rPr>
      <w:t xml:space="preserve">tel. (8 5) 268 78 00, faks. (8 5) 212 56 04, el. p. </w:t>
    </w:r>
    <w:hyperlink r:id="rId2" w:history="1">
      <w:r>
        <w:rPr>
          <w:rStyle w:val="Hyperlink"/>
          <w:sz w:val="20"/>
        </w:rPr>
        <w:t>vmi@vmi.lt</w:t>
      </w:r>
    </w:hyperlink>
  </w:p>
  <w:p w:rsidR="00017C93" w:rsidRDefault="00E23F06" w:rsidP="00017C93">
    <w:pPr>
      <w:jc w:val="center"/>
      <w:rPr>
        <w:sz w:val="20"/>
      </w:rPr>
    </w:pPr>
    <w:r>
      <w:rPr>
        <w:sz w:val="20"/>
      </w:rPr>
      <w:t>Duomenys kaupiami ir saugomi Juridinių asmenų registre, kodas 188659752</w:t>
    </w:r>
  </w:p>
  <w:p w:rsidR="00E23F06" w:rsidRDefault="00E23F06">
    <w:pPr>
      <w:pStyle w:val="Header"/>
      <w:rPr>
        <w:lang w:val="lt-LT"/>
      </w:rPr>
    </w:pPr>
    <w:r>
      <w:rPr>
        <w:noProof/>
      </w:rPr>
      <w:pict>
        <v:line id="_x0000_s2049" style="position:absolute;z-index:251657216;mso-wrap-edited:f" from="0,1.8pt" to="481.9pt,1.8pt" wrapcoords="-90 0 -90 0 21780 0 21780 0 -90 0" o:allowincell="f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C41"/>
    <w:multiLevelType w:val="hybridMultilevel"/>
    <w:tmpl w:val="E318D37A"/>
    <w:lvl w:ilvl="0" w:tplc="D2361C3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C2676C"/>
    <w:multiLevelType w:val="hybridMultilevel"/>
    <w:tmpl w:val="6D56099E"/>
    <w:lvl w:ilvl="0" w:tplc="09E4B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32222"/>
    <w:multiLevelType w:val="hybridMultilevel"/>
    <w:tmpl w:val="A91E72A2"/>
    <w:lvl w:ilvl="0" w:tplc="3B68505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4761860"/>
    <w:multiLevelType w:val="hybridMultilevel"/>
    <w:tmpl w:val="39106C38"/>
    <w:lvl w:ilvl="0" w:tplc="347A9D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63F12B8"/>
    <w:multiLevelType w:val="hybridMultilevel"/>
    <w:tmpl w:val="F9248DEC"/>
    <w:lvl w:ilvl="0" w:tplc="4DCE5A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EB7040"/>
    <w:multiLevelType w:val="hybridMultilevel"/>
    <w:tmpl w:val="973A0EF6"/>
    <w:lvl w:ilvl="0" w:tplc="3AD09BE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45E57B7"/>
    <w:multiLevelType w:val="hybridMultilevel"/>
    <w:tmpl w:val="0A42C698"/>
    <w:lvl w:ilvl="0" w:tplc="3C6C55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D02A42"/>
    <w:multiLevelType w:val="hybridMultilevel"/>
    <w:tmpl w:val="766EBA6C"/>
    <w:lvl w:ilvl="0" w:tplc="E18440DA">
      <w:start w:val="1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61D2C81"/>
    <w:multiLevelType w:val="hybridMultilevel"/>
    <w:tmpl w:val="A7FCDE4A"/>
    <w:lvl w:ilvl="0" w:tplc="337437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CA70C8"/>
    <w:multiLevelType w:val="hybridMultilevel"/>
    <w:tmpl w:val="1CD44498"/>
    <w:lvl w:ilvl="0" w:tplc="DE26DE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DE6522B"/>
    <w:multiLevelType w:val="hybridMultilevel"/>
    <w:tmpl w:val="1F22C104"/>
    <w:lvl w:ilvl="0" w:tplc="66DEB8D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FCC4931"/>
    <w:multiLevelType w:val="hybridMultilevel"/>
    <w:tmpl w:val="91FC051E"/>
    <w:lvl w:ilvl="0" w:tplc="97B2FF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057231"/>
    <w:multiLevelType w:val="hybridMultilevel"/>
    <w:tmpl w:val="17C68452"/>
    <w:lvl w:ilvl="0" w:tplc="AE14DF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F8C0D1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85DFC"/>
    <w:multiLevelType w:val="hybridMultilevel"/>
    <w:tmpl w:val="ED44E3D4"/>
    <w:lvl w:ilvl="0" w:tplc="C2666D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C39611A"/>
    <w:multiLevelType w:val="hybridMultilevel"/>
    <w:tmpl w:val="F1746FA8"/>
    <w:lvl w:ilvl="0" w:tplc="E9DC554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BE7779"/>
    <w:multiLevelType w:val="hybridMultilevel"/>
    <w:tmpl w:val="D9AC5202"/>
    <w:lvl w:ilvl="0" w:tplc="80E2BC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0406FC4"/>
    <w:multiLevelType w:val="hybridMultilevel"/>
    <w:tmpl w:val="C868CBAE"/>
    <w:lvl w:ilvl="0" w:tplc="60E0EB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5073218"/>
    <w:multiLevelType w:val="hybridMultilevel"/>
    <w:tmpl w:val="16FC3E94"/>
    <w:lvl w:ilvl="0" w:tplc="77127F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93A4E7E"/>
    <w:multiLevelType w:val="hybridMultilevel"/>
    <w:tmpl w:val="6CFA457E"/>
    <w:lvl w:ilvl="0" w:tplc="F3E8959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FA869D1"/>
    <w:multiLevelType w:val="hybridMultilevel"/>
    <w:tmpl w:val="CB760A8C"/>
    <w:lvl w:ilvl="0" w:tplc="DBC808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120462C"/>
    <w:multiLevelType w:val="hybridMultilevel"/>
    <w:tmpl w:val="611CDAF6"/>
    <w:lvl w:ilvl="0" w:tplc="DED408D0">
      <w:start w:val="1"/>
      <w:numFmt w:val="decimal"/>
      <w:lvlText w:val="%1)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613D2D1D"/>
    <w:multiLevelType w:val="hybridMultilevel"/>
    <w:tmpl w:val="DD34BAEA"/>
    <w:lvl w:ilvl="0" w:tplc="41164E14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7A3BDB"/>
    <w:multiLevelType w:val="hybridMultilevel"/>
    <w:tmpl w:val="746E2D6A"/>
    <w:lvl w:ilvl="0" w:tplc="842869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E481FBB"/>
    <w:multiLevelType w:val="hybridMultilevel"/>
    <w:tmpl w:val="BF84B0D8"/>
    <w:lvl w:ilvl="0" w:tplc="F11A0E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63E677B"/>
    <w:multiLevelType w:val="hybridMultilevel"/>
    <w:tmpl w:val="D32A8A12"/>
    <w:lvl w:ilvl="0" w:tplc="6E8C8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AA76C0"/>
    <w:multiLevelType w:val="hybridMultilevel"/>
    <w:tmpl w:val="1E3EB8EE"/>
    <w:lvl w:ilvl="0" w:tplc="11F65C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22"/>
  </w:num>
  <w:num w:numId="5">
    <w:abstractNumId w:val="15"/>
  </w:num>
  <w:num w:numId="6">
    <w:abstractNumId w:val="13"/>
  </w:num>
  <w:num w:numId="7">
    <w:abstractNumId w:val="10"/>
  </w:num>
  <w:num w:numId="8">
    <w:abstractNumId w:val="25"/>
  </w:num>
  <w:num w:numId="9">
    <w:abstractNumId w:val="16"/>
  </w:num>
  <w:num w:numId="10">
    <w:abstractNumId w:val="6"/>
  </w:num>
  <w:num w:numId="11">
    <w:abstractNumId w:val="19"/>
  </w:num>
  <w:num w:numId="12">
    <w:abstractNumId w:val="23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8"/>
  </w:num>
  <w:num w:numId="20">
    <w:abstractNumId w:val="7"/>
  </w:num>
  <w:num w:numId="21">
    <w:abstractNumId w:val="11"/>
  </w:num>
  <w:num w:numId="22">
    <w:abstractNumId w:val="4"/>
  </w:num>
  <w:num w:numId="23">
    <w:abstractNumId w:val="17"/>
  </w:num>
  <w:num w:numId="24">
    <w:abstractNumId w:val="24"/>
  </w:num>
  <w:num w:numId="25">
    <w:abstractNumId w:val="2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6F30"/>
    <w:rsid w:val="0000305B"/>
    <w:rsid w:val="00010E35"/>
    <w:rsid w:val="00017C93"/>
    <w:rsid w:val="000212E7"/>
    <w:rsid w:val="00021957"/>
    <w:rsid w:val="000257FB"/>
    <w:rsid w:val="00032DED"/>
    <w:rsid w:val="00044EA7"/>
    <w:rsid w:val="00051808"/>
    <w:rsid w:val="00067FF4"/>
    <w:rsid w:val="0007545E"/>
    <w:rsid w:val="00087B3F"/>
    <w:rsid w:val="000928D0"/>
    <w:rsid w:val="000959DD"/>
    <w:rsid w:val="00096A6B"/>
    <w:rsid w:val="00096BF5"/>
    <w:rsid w:val="000C364E"/>
    <w:rsid w:val="000C4241"/>
    <w:rsid w:val="000D0722"/>
    <w:rsid w:val="000D51D0"/>
    <w:rsid w:val="000D6695"/>
    <w:rsid w:val="000D6E7B"/>
    <w:rsid w:val="000E66A1"/>
    <w:rsid w:val="000F2A05"/>
    <w:rsid w:val="00101822"/>
    <w:rsid w:val="00106064"/>
    <w:rsid w:val="001111C9"/>
    <w:rsid w:val="00112184"/>
    <w:rsid w:val="00120A35"/>
    <w:rsid w:val="00126DAF"/>
    <w:rsid w:val="0014434B"/>
    <w:rsid w:val="00146464"/>
    <w:rsid w:val="0015045A"/>
    <w:rsid w:val="00154DFD"/>
    <w:rsid w:val="00174FDB"/>
    <w:rsid w:val="00184C7A"/>
    <w:rsid w:val="001870D8"/>
    <w:rsid w:val="00193170"/>
    <w:rsid w:val="0019491D"/>
    <w:rsid w:val="00195218"/>
    <w:rsid w:val="001979AC"/>
    <w:rsid w:val="00197F9F"/>
    <w:rsid w:val="001B2706"/>
    <w:rsid w:val="001C1FD9"/>
    <w:rsid w:val="001C4245"/>
    <w:rsid w:val="001C44C0"/>
    <w:rsid w:val="001C6EA5"/>
    <w:rsid w:val="001D1CC7"/>
    <w:rsid w:val="001D4F7B"/>
    <w:rsid w:val="001D630C"/>
    <w:rsid w:val="001F1F4A"/>
    <w:rsid w:val="001F29DA"/>
    <w:rsid w:val="001F4F36"/>
    <w:rsid w:val="00205020"/>
    <w:rsid w:val="00215163"/>
    <w:rsid w:val="002279EE"/>
    <w:rsid w:val="00232CFF"/>
    <w:rsid w:val="00232EF5"/>
    <w:rsid w:val="0023633B"/>
    <w:rsid w:val="00245542"/>
    <w:rsid w:val="00257398"/>
    <w:rsid w:val="0026371B"/>
    <w:rsid w:val="00276A98"/>
    <w:rsid w:val="00281E8F"/>
    <w:rsid w:val="00284AE6"/>
    <w:rsid w:val="002900B1"/>
    <w:rsid w:val="00295FD6"/>
    <w:rsid w:val="002C4045"/>
    <w:rsid w:val="002D0726"/>
    <w:rsid w:val="002D1471"/>
    <w:rsid w:val="002D415D"/>
    <w:rsid w:val="002F6568"/>
    <w:rsid w:val="002F7F79"/>
    <w:rsid w:val="003009C9"/>
    <w:rsid w:val="0030368D"/>
    <w:rsid w:val="00304FFB"/>
    <w:rsid w:val="003054CA"/>
    <w:rsid w:val="00311FF3"/>
    <w:rsid w:val="003179B5"/>
    <w:rsid w:val="00320E23"/>
    <w:rsid w:val="00324CF1"/>
    <w:rsid w:val="003309C3"/>
    <w:rsid w:val="00334429"/>
    <w:rsid w:val="00336CE6"/>
    <w:rsid w:val="003468EF"/>
    <w:rsid w:val="0035439E"/>
    <w:rsid w:val="003558EB"/>
    <w:rsid w:val="00356531"/>
    <w:rsid w:val="00372E97"/>
    <w:rsid w:val="00373D5A"/>
    <w:rsid w:val="0038320F"/>
    <w:rsid w:val="00385838"/>
    <w:rsid w:val="00386DD6"/>
    <w:rsid w:val="00386F30"/>
    <w:rsid w:val="00390855"/>
    <w:rsid w:val="00390B79"/>
    <w:rsid w:val="00394FA9"/>
    <w:rsid w:val="003A62B2"/>
    <w:rsid w:val="003A7E9A"/>
    <w:rsid w:val="003B0DD8"/>
    <w:rsid w:val="003B7045"/>
    <w:rsid w:val="003C5279"/>
    <w:rsid w:val="003C5AC3"/>
    <w:rsid w:val="003D0790"/>
    <w:rsid w:val="003E1EF8"/>
    <w:rsid w:val="003E2841"/>
    <w:rsid w:val="003F0C95"/>
    <w:rsid w:val="003F3356"/>
    <w:rsid w:val="003F38D1"/>
    <w:rsid w:val="003F71EB"/>
    <w:rsid w:val="003F721D"/>
    <w:rsid w:val="00410865"/>
    <w:rsid w:val="00410D5A"/>
    <w:rsid w:val="004219DB"/>
    <w:rsid w:val="00425973"/>
    <w:rsid w:val="00426572"/>
    <w:rsid w:val="004268B2"/>
    <w:rsid w:val="00441149"/>
    <w:rsid w:val="004429D8"/>
    <w:rsid w:val="00445B57"/>
    <w:rsid w:val="00447C35"/>
    <w:rsid w:val="004501C4"/>
    <w:rsid w:val="00454034"/>
    <w:rsid w:val="00457F6E"/>
    <w:rsid w:val="004704CD"/>
    <w:rsid w:val="004815AA"/>
    <w:rsid w:val="00486E2C"/>
    <w:rsid w:val="00487C95"/>
    <w:rsid w:val="0049482D"/>
    <w:rsid w:val="004A79DA"/>
    <w:rsid w:val="004C1CE8"/>
    <w:rsid w:val="004C2D69"/>
    <w:rsid w:val="004C3087"/>
    <w:rsid w:val="004C4119"/>
    <w:rsid w:val="004D1265"/>
    <w:rsid w:val="004D2CBB"/>
    <w:rsid w:val="00512AA8"/>
    <w:rsid w:val="00524E0F"/>
    <w:rsid w:val="00531F01"/>
    <w:rsid w:val="00532321"/>
    <w:rsid w:val="005338B5"/>
    <w:rsid w:val="00542704"/>
    <w:rsid w:val="005433DB"/>
    <w:rsid w:val="0056098F"/>
    <w:rsid w:val="00561017"/>
    <w:rsid w:val="00565F1F"/>
    <w:rsid w:val="005665CA"/>
    <w:rsid w:val="005671A0"/>
    <w:rsid w:val="00567F58"/>
    <w:rsid w:val="00582FBB"/>
    <w:rsid w:val="00583275"/>
    <w:rsid w:val="00585A14"/>
    <w:rsid w:val="00591CE2"/>
    <w:rsid w:val="0059203E"/>
    <w:rsid w:val="00594A0C"/>
    <w:rsid w:val="005B3525"/>
    <w:rsid w:val="005C15DF"/>
    <w:rsid w:val="005C3796"/>
    <w:rsid w:val="005C50DD"/>
    <w:rsid w:val="005C74DF"/>
    <w:rsid w:val="005F709C"/>
    <w:rsid w:val="005F725F"/>
    <w:rsid w:val="005F7FEF"/>
    <w:rsid w:val="00614FC3"/>
    <w:rsid w:val="006235D2"/>
    <w:rsid w:val="00626DEB"/>
    <w:rsid w:val="0064041D"/>
    <w:rsid w:val="006519DC"/>
    <w:rsid w:val="00660AF9"/>
    <w:rsid w:val="006624F0"/>
    <w:rsid w:val="0066374E"/>
    <w:rsid w:val="00666941"/>
    <w:rsid w:val="00680B60"/>
    <w:rsid w:val="00692A9B"/>
    <w:rsid w:val="00694CB5"/>
    <w:rsid w:val="006A3A12"/>
    <w:rsid w:val="006A4FD7"/>
    <w:rsid w:val="006B1B80"/>
    <w:rsid w:val="006B4176"/>
    <w:rsid w:val="006B5392"/>
    <w:rsid w:val="006B56CC"/>
    <w:rsid w:val="006B7919"/>
    <w:rsid w:val="006E4494"/>
    <w:rsid w:val="00701CFB"/>
    <w:rsid w:val="007058DB"/>
    <w:rsid w:val="0071050C"/>
    <w:rsid w:val="00715C54"/>
    <w:rsid w:val="00716796"/>
    <w:rsid w:val="00723E76"/>
    <w:rsid w:val="007321C5"/>
    <w:rsid w:val="0073612B"/>
    <w:rsid w:val="00743E32"/>
    <w:rsid w:val="00746431"/>
    <w:rsid w:val="007479AB"/>
    <w:rsid w:val="0075649E"/>
    <w:rsid w:val="00760FCB"/>
    <w:rsid w:val="00764330"/>
    <w:rsid w:val="00774EA7"/>
    <w:rsid w:val="007874DE"/>
    <w:rsid w:val="00790B36"/>
    <w:rsid w:val="00792D9C"/>
    <w:rsid w:val="007A0AC5"/>
    <w:rsid w:val="007B073D"/>
    <w:rsid w:val="007B0837"/>
    <w:rsid w:val="007B1EB0"/>
    <w:rsid w:val="007B2C10"/>
    <w:rsid w:val="007B75E4"/>
    <w:rsid w:val="007C7789"/>
    <w:rsid w:val="007E613E"/>
    <w:rsid w:val="007E6D09"/>
    <w:rsid w:val="007E7E3A"/>
    <w:rsid w:val="007F42CE"/>
    <w:rsid w:val="007F6136"/>
    <w:rsid w:val="0081525E"/>
    <w:rsid w:val="008250CD"/>
    <w:rsid w:val="0083243C"/>
    <w:rsid w:val="00840163"/>
    <w:rsid w:val="00851566"/>
    <w:rsid w:val="00855CF9"/>
    <w:rsid w:val="00856402"/>
    <w:rsid w:val="008569C2"/>
    <w:rsid w:val="00865DDE"/>
    <w:rsid w:val="0087726E"/>
    <w:rsid w:val="008B0229"/>
    <w:rsid w:val="008B2173"/>
    <w:rsid w:val="008B36DE"/>
    <w:rsid w:val="008C0309"/>
    <w:rsid w:val="008D59DA"/>
    <w:rsid w:val="008D6B90"/>
    <w:rsid w:val="008E0715"/>
    <w:rsid w:val="008E1E0A"/>
    <w:rsid w:val="008E2954"/>
    <w:rsid w:val="008F068B"/>
    <w:rsid w:val="008F0A80"/>
    <w:rsid w:val="008F31A8"/>
    <w:rsid w:val="008F4E0F"/>
    <w:rsid w:val="008F516C"/>
    <w:rsid w:val="00906507"/>
    <w:rsid w:val="00910BD3"/>
    <w:rsid w:val="00911020"/>
    <w:rsid w:val="009125CC"/>
    <w:rsid w:val="00913C00"/>
    <w:rsid w:val="00924F18"/>
    <w:rsid w:val="00933323"/>
    <w:rsid w:val="00935465"/>
    <w:rsid w:val="009357B4"/>
    <w:rsid w:val="00936F53"/>
    <w:rsid w:val="00944AC6"/>
    <w:rsid w:val="009479BF"/>
    <w:rsid w:val="00947CA5"/>
    <w:rsid w:val="009522F9"/>
    <w:rsid w:val="00955406"/>
    <w:rsid w:val="00961A5E"/>
    <w:rsid w:val="00975064"/>
    <w:rsid w:val="0098050E"/>
    <w:rsid w:val="0099116B"/>
    <w:rsid w:val="009B0866"/>
    <w:rsid w:val="009C10E0"/>
    <w:rsid w:val="009D0D6B"/>
    <w:rsid w:val="009D3D2F"/>
    <w:rsid w:val="009F108B"/>
    <w:rsid w:val="009F4DFB"/>
    <w:rsid w:val="009F7101"/>
    <w:rsid w:val="00A057E6"/>
    <w:rsid w:val="00A07E21"/>
    <w:rsid w:val="00A10D31"/>
    <w:rsid w:val="00A2228F"/>
    <w:rsid w:val="00A339B4"/>
    <w:rsid w:val="00A34B92"/>
    <w:rsid w:val="00A4054D"/>
    <w:rsid w:val="00A437CB"/>
    <w:rsid w:val="00A530BF"/>
    <w:rsid w:val="00A61DE0"/>
    <w:rsid w:val="00A633B0"/>
    <w:rsid w:val="00A861BD"/>
    <w:rsid w:val="00AA0D10"/>
    <w:rsid w:val="00AA4F1A"/>
    <w:rsid w:val="00AB62A5"/>
    <w:rsid w:val="00AC0349"/>
    <w:rsid w:val="00AD38AB"/>
    <w:rsid w:val="00AD66F0"/>
    <w:rsid w:val="00AD794A"/>
    <w:rsid w:val="00AE1D48"/>
    <w:rsid w:val="00AE3520"/>
    <w:rsid w:val="00AE7E7C"/>
    <w:rsid w:val="00AF0866"/>
    <w:rsid w:val="00AF60F9"/>
    <w:rsid w:val="00B02053"/>
    <w:rsid w:val="00B06185"/>
    <w:rsid w:val="00B11546"/>
    <w:rsid w:val="00B214AD"/>
    <w:rsid w:val="00B33674"/>
    <w:rsid w:val="00B47119"/>
    <w:rsid w:val="00B52B48"/>
    <w:rsid w:val="00B61F73"/>
    <w:rsid w:val="00B62890"/>
    <w:rsid w:val="00B64A83"/>
    <w:rsid w:val="00B75609"/>
    <w:rsid w:val="00B85332"/>
    <w:rsid w:val="00B90E1C"/>
    <w:rsid w:val="00BA31D3"/>
    <w:rsid w:val="00BB1F25"/>
    <w:rsid w:val="00BB44FA"/>
    <w:rsid w:val="00BC518C"/>
    <w:rsid w:val="00BD23FF"/>
    <w:rsid w:val="00BD4B70"/>
    <w:rsid w:val="00BD6792"/>
    <w:rsid w:val="00BE4793"/>
    <w:rsid w:val="00BE5A47"/>
    <w:rsid w:val="00BE6428"/>
    <w:rsid w:val="00BF056A"/>
    <w:rsid w:val="00BF064C"/>
    <w:rsid w:val="00BF3ACE"/>
    <w:rsid w:val="00C221A7"/>
    <w:rsid w:val="00C22CEA"/>
    <w:rsid w:val="00C3422D"/>
    <w:rsid w:val="00C516D7"/>
    <w:rsid w:val="00C652B3"/>
    <w:rsid w:val="00C70594"/>
    <w:rsid w:val="00C73689"/>
    <w:rsid w:val="00C7501B"/>
    <w:rsid w:val="00C75896"/>
    <w:rsid w:val="00C8137B"/>
    <w:rsid w:val="00C84283"/>
    <w:rsid w:val="00C84C9B"/>
    <w:rsid w:val="00CA2F7B"/>
    <w:rsid w:val="00CB1E88"/>
    <w:rsid w:val="00CC0A8C"/>
    <w:rsid w:val="00CC1053"/>
    <w:rsid w:val="00CC6C5A"/>
    <w:rsid w:val="00CE2188"/>
    <w:rsid w:val="00CE4BD4"/>
    <w:rsid w:val="00CE5778"/>
    <w:rsid w:val="00CE6383"/>
    <w:rsid w:val="00CF5B7C"/>
    <w:rsid w:val="00CF75F7"/>
    <w:rsid w:val="00D04B70"/>
    <w:rsid w:val="00D15837"/>
    <w:rsid w:val="00D270E3"/>
    <w:rsid w:val="00D35962"/>
    <w:rsid w:val="00D51477"/>
    <w:rsid w:val="00D548C7"/>
    <w:rsid w:val="00D551AB"/>
    <w:rsid w:val="00D64AA7"/>
    <w:rsid w:val="00D65533"/>
    <w:rsid w:val="00D67FF0"/>
    <w:rsid w:val="00D70298"/>
    <w:rsid w:val="00D71E16"/>
    <w:rsid w:val="00D725B9"/>
    <w:rsid w:val="00D75C92"/>
    <w:rsid w:val="00D90CCD"/>
    <w:rsid w:val="00D91622"/>
    <w:rsid w:val="00DA0A04"/>
    <w:rsid w:val="00DC2784"/>
    <w:rsid w:val="00DC4B9F"/>
    <w:rsid w:val="00DD0DC0"/>
    <w:rsid w:val="00DD53E6"/>
    <w:rsid w:val="00DE68BA"/>
    <w:rsid w:val="00DF432C"/>
    <w:rsid w:val="00DF4445"/>
    <w:rsid w:val="00DF4F24"/>
    <w:rsid w:val="00E002DE"/>
    <w:rsid w:val="00E0777E"/>
    <w:rsid w:val="00E236AE"/>
    <w:rsid w:val="00E23F06"/>
    <w:rsid w:val="00E257DB"/>
    <w:rsid w:val="00E41F24"/>
    <w:rsid w:val="00E66415"/>
    <w:rsid w:val="00E70216"/>
    <w:rsid w:val="00E7446D"/>
    <w:rsid w:val="00E770BC"/>
    <w:rsid w:val="00E86891"/>
    <w:rsid w:val="00EA263D"/>
    <w:rsid w:val="00EA2CF2"/>
    <w:rsid w:val="00EA304A"/>
    <w:rsid w:val="00EB0B41"/>
    <w:rsid w:val="00EB40BF"/>
    <w:rsid w:val="00EB471F"/>
    <w:rsid w:val="00EB5F8F"/>
    <w:rsid w:val="00EB6659"/>
    <w:rsid w:val="00ED1782"/>
    <w:rsid w:val="00ED5AA2"/>
    <w:rsid w:val="00EE2971"/>
    <w:rsid w:val="00EF3D98"/>
    <w:rsid w:val="00EF79F2"/>
    <w:rsid w:val="00F1172C"/>
    <w:rsid w:val="00F16D44"/>
    <w:rsid w:val="00F17EC4"/>
    <w:rsid w:val="00F20901"/>
    <w:rsid w:val="00F50D4D"/>
    <w:rsid w:val="00F53265"/>
    <w:rsid w:val="00F54EFB"/>
    <w:rsid w:val="00F66EBE"/>
    <w:rsid w:val="00F71576"/>
    <w:rsid w:val="00F85160"/>
    <w:rsid w:val="00F86464"/>
    <w:rsid w:val="00F87721"/>
    <w:rsid w:val="00F97F70"/>
    <w:rsid w:val="00FA230E"/>
    <w:rsid w:val="00FA52E3"/>
    <w:rsid w:val="00FB3215"/>
    <w:rsid w:val="00FB474F"/>
    <w:rsid w:val="00FB4A88"/>
    <w:rsid w:val="00FC4F67"/>
    <w:rsid w:val="00FC57D7"/>
    <w:rsid w:val="00FC7D23"/>
    <w:rsid w:val="00FE48A5"/>
    <w:rsid w:val="00FF10FB"/>
    <w:rsid w:val="00FF22A0"/>
    <w:rsid w:val="00FF2553"/>
    <w:rsid w:val="00F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DEB"/>
    <w:rPr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firstLine="720"/>
    </w:pPr>
    <w:rPr>
      <w:b/>
      <w:bCs/>
      <w:color w:val="000000"/>
    </w:rPr>
  </w:style>
  <w:style w:type="paragraph" w:styleId="BodyTextIndent">
    <w:name w:val="Body Text Indent"/>
    <w:basedOn w:val="Normal"/>
    <w:pPr>
      <w:ind w:firstLine="720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ypewriter">
    <w:name w:val="typewriter"/>
    <w:basedOn w:val="DefaultParagraphFont"/>
  </w:style>
  <w:style w:type="character" w:customStyle="1" w:styleId="statymonr">
    <w:name w:val="statymonr"/>
    <w:basedOn w:val="DefaultParagraphFont"/>
  </w:style>
  <w:style w:type="paragraph" w:customStyle="1" w:styleId="Pa14">
    <w:name w:val="Pa14"/>
    <w:basedOn w:val="Normal"/>
    <w:next w:val="Normal"/>
    <w:pPr>
      <w:autoSpaceDE w:val="0"/>
      <w:autoSpaceDN w:val="0"/>
      <w:adjustRightInd w:val="0"/>
      <w:spacing w:line="201" w:lineRule="atLeast"/>
    </w:pPr>
    <w:rPr>
      <w:lang w:eastAsia="lt-LT"/>
    </w:rPr>
  </w:style>
  <w:style w:type="paragraph" w:customStyle="1" w:styleId="Pa15">
    <w:name w:val="Pa15"/>
    <w:basedOn w:val="Normal"/>
    <w:next w:val="Normal"/>
    <w:pPr>
      <w:autoSpaceDE w:val="0"/>
      <w:autoSpaceDN w:val="0"/>
      <w:adjustRightInd w:val="0"/>
      <w:spacing w:line="201" w:lineRule="atLeast"/>
    </w:pPr>
    <w:rPr>
      <w:lang w:eastAsia="lt-LT"/>
    </w:rPr>
  </w:style>
  <w:style w:type="paragraph" w:customStyle="1" w:styleId="Pa12">
    <w:name w:val="Pa12"/>
    <w:basedOn w:val="Normal"/>
    <w:next w:val="Normal"/>
    <w:pPr>
      <w:autoSpaceDE w:val="0"/>
      <w:autoSpaceDN w:val="0"/>
      <w:adjustRightInd w:val="0"/>
      <w:spacing w:line="201" w:lineRule="atLeast"/>
    </w:pPr>
    <w:rPr>
      <w:lang w:eastAsia="lt-LT"/>
    </w:rPr>
  </w:style>
  <w:style w:type="paragraph" w:customStyle="1" w:styleId="statymopavad">
    <w:name w:val="statymopavad"/>
    <w:basedOn w:val="Normal"/>
    <w:pPr>
      <w:spacing w:before="100" w:beforeAutospacing="1" w:after="100" w:afterAutospacing="1"/>
    </w:pPr>
    <w:rPr>
      <w:lang w:eastAsia="lt-L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</w:style>
  <w:style w:type="character" w:customStyle="1" w:styleId="orgnamebig1">
    <w:name w:val="org_name_big1"/>
    <w:basedOn w:val="DefaultParagraphFont"/>
    <w:rsid w:val="0071050C"/>
    <w:rPr>
      <w:rFonts w:ascii="Arial" w:hAnsi="Arial" w:cs="Arial" w:hint="default"/>
      <w:b/>
      <w:bCs/>
      <w:color w:val="585858"/>
      <w:sz w:val="39"/>
      <w:szCs w:val="39"/>
    </w:rPr>
  </w:style>
  <w:style w:type="character" w:customStyle="1" w:styleId="orgnamesmall1">
    <w:name w:val="org_name_small1"/>
    <w:basedOn w:val="DefaultParagraphFont"/>
    <w:rsid w:val="0071050C"/>
    <w:rPr>
      <w:rFonts w:ascii="Arial" w:hAnsi="Arial" w:cs="Arial" w:hint="default"/>
      <w:b/>
      <w:bCs/>
      <w:color w:val="585858"/>
      <w:sz w:val="21"/>
      <w:szCs w:val="21"/>
    </w:rPr>
  </w:style>
  <w:style w:type="paragraph" w:styleId="BalloonText">
    <w:name w:val="Balloon Text"/>
    <w:basedOn w:val="Normal"/>
    <w:semiHidden/>
    <w:rsid w:val="00295F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4434B"/>
    <w:rPr>
      <w:sz w:val="16"/>
      <w:szCs w:val="16"/>
    </w:rPr>
  </w:style>
  <w:style w:type="paragraph" w:styleId="CommentText">
    <w:name w:val="annotation text"/>
    <w:basedOn w:val="Normal"/>
    <w:semiHidden/>
    <w:rsid w:val="001443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4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37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74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7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6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38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Janukonyte@vm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vmi@vmi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vmi</Company>
  <LinksUpToDate>false</LinksUpToDate>
  <CharactersWithSpaces>4139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mailto:A.Janukonyte@vmi.lt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mailto:vmi@vmi.lt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L.Zukiene</dc:creator>
  <cp:lastModifiedBy>Mindaugas</cp:lastModifiedBy>
  <cp:revision>2</cp:revision>
  <cp:lastPrinted>2010-04-19T16:10:00Z</cp:lastPrinted>
  <dcterms:created xsi:type="dcterms:W3CDTF">2010-04-19T16:11:00Z</dcterms:created>
  <dcterms:modified xsi:type="dcterms:W3CDTF">2010-04-19T16:11:00Z</dcterms:modified>
</cp:coreProperties>
</file>